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5C4C4" w14:textId="77777777" w:rsidR="00567F9F" w:rsidRPr="004E7D44" w:rsidRDefault="00567F9F" w:rsidP="00E47300">
      <w:pPr>
        <w:tabs>
          <w:tab w:val="left" w:pos="510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6EA756E" w14:textId="77777777" w:rsidR="00567F9F" w:rsidRPr="00567F9F" w:rsidRDefault="00567F9F" w:rsidP="00E849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1BA80243" w14:textId="77777777" w:rsidR="00567F9F" w:rsidRPr="00567F9F" w:rsidRDefault="00567F9F" w:rsidP="00E849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176B7D37" w14:textId="77777777" w:rsidR="00567F9F" w:rsidRPr="00567F9F" w:rsidRDefault="00567F9F" w:rsidP="00E84939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11AF554A" w14:textId="77777777" w:rsidR="00B75BEE" w:rsidRDefault="00567F9F" w:rsidP="00B75BEE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F9F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0E67B51A" w14:textId="282A84D1" w:rsidR="00B75BEE" w:rsidRPr="00B75BEE" w:rsidRDefault="00A23C09" w:rsidP="00B75BEE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«16</w:t>
      </w:r>
      <w:r w:rsidR="00B75BEE">
        <w:rPr>
          <w:rFonts w:ascii="Times New Roman" w:hAnsi="Times New Roman"/>
          <w:bCs/>
          <w:sz w:val="28"/>
          <w:szCs w:val="28"/>
        </w:rPr>
        <w:t xml:space="preserve">» </w:t>
      </w:r>
      <w:r w:rsidR="000D4067">
        <w:rPr>
          <w:rFonts w:ascii="Times New Roman" w:hAnsi="Times New Roman"/>
          <w:bCs/>
          <w:sz w:val="28"/>
          <w:szCs w:val="28"/>
        </w:rPr>
        <w:t>августа</w:t>
      </w:r>
      <w:r w:rsidR="00B75BEE">
        <w:rPr>
          <w:rFonts w:ascii="Times New Roman" w:hAnsi="Times New Roman"/>
          <w:bCs/>
          <w:sz w:val="28"/>
          <w:szCs w:val="28"/>
        </w:rPr>
        <w:t xml:space="preserve"> 2024 г. № ПР-380-</w:t>
      </w:r>
      <w:r>
        <w:rPr>
          <w:rFonts w:ascii="Times New Roman" w:hAnsi="Times New Roman"/>
          <w:bCs/>
          <w:sz w:val="28"/>
          <w:szCs w:val="28"/>
        </w:rPr>
        <w:t>227</w:t>
      </w:r>
      <w:r w:rsidR="00B75BEE">
        <w:rPr>
          <w:rFonts w:ascii="Times New Roman" w:hAnsi="Times New Roman"/>
          <w:bCs/>
          <w:sz w:val="28"/>
          <w:szCs w:val="28"/>
        </w:rPr>
        <w:t>-о</w:t>
      </w:r>
    </w:p>
    <w:p w14:paraId="3B9B6948" w14:textId="77777777" w:rsidR="00567F9F" w:rsidRPr="00567F9F" w:rsidRDefault="00567F9F" w:rsidP="00567F9F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22C9E5" w14:textId="77777777" w:rsidR="00567F9F" w:rsidRPr="00567F9F" w:rsidRDefault="00567F9F" w:rsidP="00567F9F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A82EC1" w14:textId="77777777" w:rsidR="00567F9F" w:rsidRPr="00567F9F" w:rsidRDefault="00567F9F" w:rsidP="00567F9F">
      <w:pPr>
        <w:keepNext/>
        <w:keepLines/>
        <w:tabs>
          <w:tab w:val="left" w:pos="5103"/>
        </w:tabs>
        <w:spacing w:after="0" w:line="240" w:lineRule="auto"/>
        <w:ind w:left="4962" w:hanging="142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1696C7" w14:textId="77777777" w:rsidR="00567F9F" w:rsidRPr="00567F9F" w:rsidRDefault="00567F9F" w:rsidP="00567F9F">
      <w:pPr>
        <w:spacing w:after="0" w:line="240" w:lineRule="auto"/>
        <w:ind w:left="513" w:right="57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32303" w14:textId="19C3BBD8" w:rsidR="00567F9F" w:rsidRPr="00567F9F" w:rsidRDefault="00567F9F" w:rsidP="00567F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9F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Федеральной службе по эк</w:t>
      </w:r>
      <w:r w:rsidR="00E84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ологическому, технологическому 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атомному надзору при осуществлении федерального государственного энергетического надзора за </w:t>
      </w:r>
      <w:r w:rsidR="000D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E7D44" w:rsidRPr="004E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месяцев</w:t>
      </w:r>
      <w:r w:rsid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6831850" w14:textId="77777777" w:rsidR="00567F9F" w:rsidRPr="00567F9F" w:rsidRDefault="00567F9F" w:rsidP="00567F9F">
      <w:pPr>
        <w:keepNext/>
        <w:keepLines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482266758"/>
    </w:p>
    <w:p w14:paraId="0E487009" w14:textId="77777777" w:rsidR="00567F9F" w:rsidRPr="00567F9F" w:rsidRDefault="00567F9F" w:rsidP="00567F9F">
      <w:pPr>
        <w:keepNext/>
        <w:keepLines/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  <w:bookmarkEnd w:id="0"/>
    </w:p>
    <w:p w14:paraId="0BFEBAE0" w14:textId="77777777" w:rsidR="00567F9F" w:rsidRPr="00567F9F" w:rsidRDefault="00567F9F" w:rsidP="00567F9F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14:paraId="4653E04B" w14:textId="18A356F8" w:rsidR="00567F9F" w:rsidRPr="00567F9F" w:rsidRDefault="00567F9F" w:rsidP="004751A6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="00E849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</w:t>
      </w:r>
      <w:r w:rsidRPr="00567F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осуществлении федерального государствен</w:t>
      </w:r>
      <w:r w:rsidR="00E849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ного энергетического надзора</w:t>
      </w:r>
      <w:r w:rsidR="00BD54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1085 «</w:t>
      </w:r>
      <w:r w:rsidRPr="00567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 государственном энергетическом надзоре</w:t>
      </w:r>
      <w:r w:rsidR="00E8493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в соответствии с приказом Федеральной службы по экологическому, технологическому и атомному надзо</w:t>
      </w:r>
      <w:r w:rsidR="00E8493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ру от 23 августа 2023 г. № 307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14:paraId="1AD06A93" w14:textId="77777777" w:rsidR="00567F9F" w:rsidRPr="00567F9F" w:rsidRDefault="00567F9F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48954E43" w14:textId="77777777" w:rsidR="00567F9F" w:rsidRPr="00567F9F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22E83769" w14:textId="77777777" w:rsidR="00567F9F" w:rsidRPr="00567F9F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1A26D2B" w14:textId="77777777" w:rsidR="00567F9F" w:rsidRPr="00567F9F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F42E30A" w14:textId="77777777" w:rsidR="00567F9F" w:rsidRPr="00567F9F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46D52F99" w14:textId="5F3E0296" w:rsidR="00567F9F" w:rsidRPr="004751A6" w:rsidRDefault="00E47300" w:rsidP="004751A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67F9F" w:rsidRPr="00567F9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7B8FEE0D" w14:textId="77777777" w:rsidR="00567F9F" w:rsidRPr="00567F9F" w:rsidRDefault="00567F9F" w:rsidP="004751A6">
      <w:pPr>
        <w:keepNext/>
        <w:keepLines/>
        <w:spacing w:after="0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энергетический надзор </w:t>
      </w:r>
    </w:p>
    <w:p w14:paraId="5BAC5105" w14:textId="77777777" w:rsidR="00567F9F" w:rsidRPr="00567F9F" w:rsidRDefault="00567F9F" w:rsidP="004751A6">
      <w:pPr>
        <w:spacing w:after="0"/>
        <w:ind w:firstLine="709"/>
        <w:contextualSpacing/>
        <w:rPr>
          <w:rFonts w:ascii="Calibri" w:eastAsia="Calibri" w:hAnsi="Calibri" w:cs="Times New Roman"/>
          <w:lang w:eastAsia="ru-RU"/>
        </w:rPr>
      </w:pPr>
    </w:p>
    <w:p w14:paraId="7CAD2705" w14:textId="755B36C2" w:rsidR="00567F9F" w:rsidRPr="00567F9F" w:rsidRDefault="00DF15F3" w:rsidP="004751A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67F9F" w:rsidRPr="00567F9F">
        <w:rPr>
          <w:rFonts w:ascii="Times New Roman" w:eastAsia="Calibri" w:hAnsi="Times New Roman" w:cs="Times New Roman"/>
          <w:sz w:val="28"/>
          <w:szCs w:val="28"/>
        </w:rPr>
        <w:t xml:space="preserve">бщее количество поднадзорных Ростехнадзору организаций составляет 1591, в том числе потребителей электроэнергии – </w:t>
      </w:r>
      <w:r w:rsidR="00E84939">
        <w:rPr>
          <w:rFonts w:ascii="Times New Roman" w:eastAsia="Calibri" w:hAnsi="Times New Roman" w:cs="Times New Roman"/>
          <w:sz w:val="28"/>
          <w:szCs w:val="28"/>
        </w:rPr>
        <w:t>1528</w:t>
      </w:r>
      <w:r w:rsidR="00567F9F" w:rsidRPr="00567F9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2977"/>
      </w:tblGrid>
      <w:tr w:rsidR="00567F9F" w:rsidRPr="00567F9F" w14:paraId="6006B437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19BEF4D6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Общее число поднадзорных объектов энергетики</w:t>
            </w:r>
          </w:p>
        </w:tc>
        <w:tc>
          <w:tcPr>
            <w:tcW w:w="2977" w:type="dxa"/>
            <w:noWrap/>
            <w:vAlign w:val="bottom"/>
            <w:hideMark/>
          </w:tcPr>
          <w:p w14:paraId="4DC37FB2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2930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567F9F" w:rsidRPr="00567F9F" w14:paraId="03AF201F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C3C990A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3BC80686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12CEBC02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06FE5C7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Газотурбинных (газопоршневых) 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0FCEFD0E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336238DA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200F5BDD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Малых (технологических) 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0843FD89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62505097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5A2BD2FE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Гидроэлектростанций</w:t>
            </w:r>
          </w:p>
        </w:tc>
        <w:tc>
          <w:tcPr>
            <w:tcW w:w="2977" w:type="dxa"/>
            <w:noWrap/>
            <w:vAlign w:val="bottom"/>
            <w:hideMark/>
          </w:tcPr>
          <w:p w14:paraId="5E4A4545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567F9F" w:rsidRPr="00567F9F" w14:paraId="3283596E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3E30999B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Котельных всего,</w:t>
            </w:r>
          </w:p>
          <w:p w14:paraId="6981A699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7" w:type="dxa"/>
            <w:noWrap/>
            <w:hideMark/>
          </w:tcPr>
          <w:p w14:paraId="2DE12CE0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362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42DC9271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40A9272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производственных</w:t>
            </w:r>
          </w:p>
        </w:tc>
        <w:tc>
          <w:tcPr>
            <w:tcW w:w="2977" w:type="dxa"/>
            <w:noWrap/>
            <w:vAlign w:val="center"/>
            <w:hideMark/>
          </w:tcPr>
          <w:p w14:paraId="54A1162D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     10;</w:t>
            </w:r>
          </w:p>
        </w:tc>
      </w:tr>
      <w:tr w:rsidR="00567F9F" w:rsidRPr="00567F9F" w14:paraId="5E7A0066" w14:textId="77777777" w:rsidTr="00567F9F">
        <w:trPr>
          <w:trHeight w:val="359"/>
        </w:trPr>
        <w:tc>
          <w:tcPr>
            <w:tcW w:w="6819" w:type="dxa"/>
            <w:noWrap/>
            <w:vAlign w:val="bottom"/>
            <w:hideMark/>
          </w:tcPr>
          <w:p w14:paraId="22EAC794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отопительно-производственных</w:t>
            </w:r>
          </w:p>
        </w:tc>
        <w:tc>
          <w:tcPr>
            <w:tcW w:w="2977" w:type="dxa"/>
            <w:noWrap/>
            <w:vAlign w:val="center"/>
            <w:hideMark/>
          </w:tcPr>
          <w:p w14:paraId="23F73A08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  </w:t>
            </w:r>
            <w:r w:rsidRPr="00567F9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2A472B36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096E2B70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отопительных</w:t>
            </w:r>
          </w:p>
        </w:tc>
        <w:tc>
          <w:tcPr>
            <w:tcW w:w="2977" w:type="dxa"/>
            <w:noWrap/>
            <w:vAlign w:val="center"/>
            <w:hideMark/>
          </w:tcPr>
          <w:p w14:paraId="62852E1E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</w:t>
            </w:r>
            <w:r w:rsidRPr="00567F9F">
              <w:rPr>
                <w:rFonts w:ascii="Times New Roman" w:eastAsia="Calibri" w:hAnsi="Times New Roman" w:cs="Times New Roman"/>
                <w:sz w:val="28"/>
                <w:szCs w:val="28"/>
              </w:rPr>
              <w:t>324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14223A59" w14:textId="77777777" w:rsidTr="00567F9F">
        <w:trPr>
          <w:trHeight w:val="313"/>
        </w:trPr>
        <w:tc>
          <w:tcPr>
            <w:tcW w:w="6819" w:type="dxa"/>
            <w:noWrap/>
            <w:vAlign w:val="bottom"/>
            <w:hideMark/>
          </w:tcPr>
          <w:p w14:paraId="07518931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Электрических подстанций 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     </w:t>
            </w:r>
          </w:p>
        </w:tc>
        <w:tc>
          <w:tcPr>
            <w:tcW w:w="2977" w:type="dxa"/>
            <w:noWrap/>
            <w:vAlign w:val="bottom"/>
            <w:hideMark/>
          </w:tcPr>
          <w:p w14:paraId="5E08D6B8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2798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567F9F" w:rsidRPr="00567F9F" w14:paraId="7FBB4365" w14:textId="77777777" w:rsidTr="00567F9F">
        <w:trPr>
          <w:trHeight w:hRule="exact" w:val="392"/>
        </w:trPr>
        <w:tc>
          <w:tcPr>
            <w:tcW w:w="6819" w:type="dxa"/>
            <w:noWrap/>
            <w:hideMark/>
          </w:tcPr>
          <w:p w14:paraId="00251239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сетей (в двухтрубном исчислении),</w:t>
            </w:r>
          </w:p>
        </w:tc>
        <w:tc>
          <w:tcPr>
            <w:tcW w:w="2977" w:type="dxa"/>
            <w:noWrap/>
            <w:vAlign w:val="bottom"/>
            <w:hideMark/>
          </w:tcPr>
          <w:p w14:paraId="2938B66D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2372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567F9F" w:rsidRPr="00567F9F" w14:paraId="3782AEA0" w14:textId="77777777" w:rsidTr="00567F9F">
        <w:trPr>
          <w:trHeight w:val="728"/>
        </w:trPr>
        <w:tc>
          <w:tcPr>
            <w:tcW w:w="6819" w:type="dxa"/>
            <w:noWrap/>
            <w:hideMark/>
          </w:tcPr>
          <w:p w14:paraId="4E157313" w14:textId="77777777" w:rsidR="00567F9F" w:rsidRPr="00567F9F" w:rsidRDefault="00567F9F" w:rsidP="004751A6">
            <w:pPr>
              <w:spacing w:after="0"/>
              <w:ind w:left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noWrap/>
            <w:hideMark/>
          </w:tcPr>
          <w:p w14:paraId="27EC83A2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9855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567F9F" w:rsidRPr="00567F9F" w14:paraId="2F0E3186" w14:textId="77777777" w:rsidTr="00567F9F">
        <w:trPr>
          <w:trHeight w:val="255"/>
        </w:trPr>
        <w:tc>
          <w:tcPr>
            <w:tcW w:w="6819" w:type="dxa"/>
            <w:noWrap/>
            <w:hideMark/>
          </w:tcPr>
          <w:p w14:paraId="2B72029F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до 1 кВ</w:t>
            </w:r>
          </w:p>
        </w:tc>
        <w:tc>
          <w:tcPr>
            <w:tcW w:w="2977" w:type="dxa"/>
            <w:noWrap/>
            <w:vAlign w:val="bottom"/>
            <w:hideMark/>
          </w:tcPr>
          <w:p w14:paraId="4FDB6713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3623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567F9F" w:rsidRPr="00567F9F" w14:paraId="1AFCF5D8" w14:textId="77777777" w:rsidTr="00567F9F">
        <w:trPr>
          <w:trHeight w:val="255"/>
        </w:trPr>
        <w:tc>
          <w:tcPr>
            <w:tcW w:w="6819" w:type="dxa"/>
            <w:noWrap/>
            <w:hideMark/>
          </w:tcPr>
          <w:p w14:paraId="4E8EB18D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от 1 кВ до 110 кВ</w:t>
            </w:r>
          </w:p>
        </w:tc>
        <w:tc>
          <w:tcPr>
            <w:tcW w:w="2977" w:type="dxa"/>
            <w:noWrap/>
            <w:vAlign w:val="bottom"/>
            <w:hideMark/>
          </w:tcPr>
          <w:p w14:paraId="533E6030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5327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км;</w:t>
            </w:r>
          </w:p>
        </w:tc>
      </w:tr>
      <w:tr w:rsidR="00567F9F" w:rsidRPr="00567F9F" w14:paraId="057A78BB" w14:textId="77777777" w:rsidTr="00567F9F">
        <w:trPr>
          <w:trHeight w:val="255"/>
        </w:trPr>
        <w:tc>
          <w:tcPr>
            <w:tcW w:w="6819" w:type="dxa"/>
            <w:noWrap/>
            <w:vAlign w:val="bottom"/>
            <w:hideMark/>
          </w:tcPr>
          <w:p w14:paraId="7570223A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220 кВ и выше</w:t>
            </w:r>
          </w:p>
        </w:tc>
        <w:tc>
          <w:tcPr>
            <w:tcW w:w="2977" w:type="dxa"/>
            <w:noWrap/>
            <w:vAlign w:val="bottom"/>
            <w:hideMark/>
          </w:tcPr>
          <w:p w14:paraId="69DE0534" w14:textId="77777777" w:rsidR="00567F9F" w:rsidRPr="00567F9F" w:rsidRDefault="00567F9F" w:rsidP="004751A6">
            <w:pPr>
              <w:spacing w:after="0"/>
              <w:ind w:firstLine="709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   </w:t>
            </w:r>
            <w:r w:rsidR="00E84939">
              <w:rPr>
                <w:rFonts w:ascii="Times New Roman" w:eastAsia="Calibri" w:hAnsi="Times New Roman" w:cs="Times New Roman"/>
                <w:sz w:val="28"/>
                <w:szCs w:val="28"/>
              </w:rPr>
              <w:t>905</w:t>
            </w:r>
            <w:r w:rsidRPr="00567F9F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км.</w:t>
            </w:r>
          </w:p>
        </w:tc>
      </w:tr>
    </w:tbl>
    <w:p w14:paraId="6322F264" w14:textId="2B96180D" w:rsidR="00BD54E9" w:rsidRPr="00BD54E9" w:rsidRDefault="00DF15F3" w:rsidP="004751A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D54E9"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нспекторским сос</w:t>
      </w:r>
      <w:r w:rsidR="000D4067">
        <w:rPr>
          <w:rFonts w:ascii="Times New Roman" w:eastAsia="Calibri" w:hAnsi="Times New Roman" w:cs="Times New Roman"/>
          <w:sz w:val="28"/>
          <w:szCs w:val="28"/>
          <w:lang w:eastAsia="ru-RU"/>
        </w:rPr>
        <w:t>тавом допущено в эксплуатацию 126 вновь вводимых и реконструированных энергоустановок</w:t>
      </w:r>
      <w:bookmarkStart w:id="1" w:name="_Hlk166144971"/>
      <w:r w:rsidR="00BD54E9" w:rsidRPr="00BD54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bookmarkEnd w:id="1"/>
    <w:p w14:paraId="3356C260" w14:textId="226BBC7C" w:rsidR="00B624CE" w:rsidRDefault="00DF15F3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поднадз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орных объектах зарегистрировано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 аварий (в 2023 году – 0), из них:</w:t>
      </w:r>
    </w:p>
    <w:p w14:paraId="47393F5F" w14:textId="645BDDBF" w:rsidR="00BD54E9" w:rsidRPr="00BD54E9" w:rsidRDefault="00BD54E9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объектах электроэнергетики зарегистрировано 0 аварий (в 2023 году – 0);</w:t>
      </w:r>
    </w:p>
    <w:p w14:paraId="7A410051" w14:textId="77777777" w:rsidR="00BD54E9" w:rsidRPr="00BD54E9" w:rsidRDefault="00BD54E9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объектах теплоснабжения зарегистрировано 0 аварий (в 2023 году – 0).</w:t>
      </w:r>
    </w:p>
    <w:p w14:paraId="2E44BB76" w14:textId="10CD5221" w:rsidR="00567F9F" w:rsidRPr="00567F9F" w:rsidRDefault="00567F9F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отчётный период зареги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стрировано 0 несчастных случаев 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 смертельным исходом 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них:</w:t>
      </w:r>
    </w:p>
    <w:p w14:paraId="1DD85D8F" w14:textId="212598D2" w:rsidR="00567F9F" w:rsidRPr="00567F9F" w:rsidRDefault="00567F9F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эле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ктроэнергетики зарегистрировано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несчастных случаев со смерте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исходом (в 202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 –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89F990" w14:textId="34E4A60C" w:rsidR="00567F9F" w:rsidRDefault="00567F9F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теплоснабжения зарегистрировано 0 несчастных случаев со смерте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исходом (в 202</w:t>
      </w:r>
      <w:r w:rsidR="00BD54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0</w:t>
      </w:r>
      <w:r w:rsidRPr="00567F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A211048" w14:textId="325FA4AC" w:rsidR="00BD54E9" w:rsidRDefault="00DF15F3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рамках осуществления контрольной (над</w:t>
      </w:r>
      <w:r w:rsid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зорной) деятельности проведено 317 контрольных (надзорных) мероприятия (в 2023 году –  119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из них</w:t>
      </w:r>
      <w:r w:rsid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плановых – 0  (в 2023 году –  4), внеплановых –  315 (в 2023 году –  115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том числе </w:t>
      </w:r>
      <w:r w:rsidR="000D4067"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проверки, согласованные с прокуратурой Сахалинской области</w:t>
      </w:r>
      <w:r w:rsidR="00BD54E9" w:rsidRPr="00BD5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B13B665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315 внеплановых проверок: </w:t>
      </w:r>
    </w:p>
    <w:p w14:paraId="2E48FE49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- 309 проверок,  были инициированы обращением заявителя, который   выступает в качестве объекта контроля;</w:t>
      </w:r>
    </w:p>
    <w:p w14:paraId="414FF5D6" w14:textId="1A2AB232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- 6 проверок – участие представителей управления в проверках            сторонних организаций.</w:t>
      </w:r>
    </w:p>
    <w:p w14:paraId="3396D8E0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Выявлено 582/324 нарушения обязательных требований.</w:t>
      </w:r>
    </w:p>
    <w:p w14:paraId="3D0AE3D0" w14:textId="53CFE4C9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Общее количество наложенных административных наказаний </w:t>
      </w: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с учетом материалов дел об административных правонарушениях, переданных из органов прокуратуры, составило 22/44, в том числе: </w:t>
      </w:r>
    </w:p>
    <w:p w14:paraId="65D2859E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1/19 –в виде предупреждения; </w:t>
      </w:r>
    </w:p>
    <w:p w14:paraId="585CDD2E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21/25 – административный штраф. </w:t>
      </w:r>
    </w:p>
    <w:p w14:paraId="7D9E254B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сумма наложенных штрафов –153 / 408 тыс. рублей.</w:t>
      </w:r>
    </w:p>
    <w:p w14:paraId="203ECAF1" w14:textId="235F2E85" w:rsid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Взысканная сумма штрафов - 101/245 тыс. рублей, в том числе, 10/14 штрафов, на сумму 33/110 тыс. рублей, оплачено с применением льготного   периода. </w:t>
      </w:r>
    </w:p>
    <w:p w14:paraId="13EC7D21" w14:textId="77777777" w:rsidR="000D4067" w:rsidRPr="000D4067" w:rsidRDefault="000D4067" w:rsidP="004751A6">
      <w:pPr>
        <w:spacing w:after="0"/>
        <w:ind w:right="-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деятельности юридических лиц и индивидуальных      предпринимателей за нарушение обязательных требований по решению суда не применялось. </w:t>
      </w:r>
    </w:p>
    <w:p w14:paraId="3669F17D" w14:textId="18F42F27" w:rsidR="000D4067" w:rsidRPr="00BD54E9" w:rsidRDefault="000D4067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6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отношении 7/17 юридических лиц и 0/1 физического лица применены меры профилактического воздействия, объявлено предостережение.</w:t>
      </w:r>
    </w:p>
    <w:p w14:paraId="28FA98AB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6 месяцев 2024 года отделом рассмотрено 74 заявления о согласовании границ охранных зон объектов электросетевого хозяйства</w:t>
      </w:r>
    </w:p>
    <w:p w14:paraId="30BFA5E6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Принято решений:</w:t>
      </w:r>
    </w:p>
    <w:p w14:paraId="434C30DC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 согласовании границ охранных зон – 65;</w:t>
      </w:r>
    </w:p>
    <w:p w14:paraId="5CFB4CA0" w14:textId="21368EEA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 отказе в согласовании – 9.</w:t>
      </w:r>
    </w:p>
    <w:p w14:paraId="2FB774C3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Мероприятия по подготовке к отопительному сезону </w:t>
      </w:r>
      <w:r w:rsidRPr="000D4067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br/>
        <w:t>и его прохождению.</w:t>
      </w:r>
    </w:p>
    <w:p w14:paraId="2C072021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Итоги прошедшего отопительного сезона</w:t>
      </w:r>
    </w:p>
    <w:p w14:paraId="286849D0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Всего в 2023 году подлежало оценке готовности к отопительному          периоду 2023-2024 годов  17 МО Сахалинской области, 2 из них не получили паспорта готовности.</w:t>
      </w:r>
    </w:p>
    <w:p w14:paraId="6606077B" w14:textId="77777777" w:rsidR="00B624CE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Готово к отопительному периоду (в разрезе количества населения) 92 %.</w:t>
      </w:r>
    </w:p>
    <w:p w14:paraId="2DB8EFF8" w14:textId="7CC9D53A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Отказано в выдаче паспорта готовности: МО «Анивский ГО», МО ГО «Охинский».</w:t>
      </w:r>
    </w:p>
    <w:p w14:paraId="2ADABAB0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Основные нарушения, послужившие причинами отказа в выдаче           </w:t>
      </w: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паспортов готовности:</w:t>
      </w:r>
    </w:p>
    <w:p w14:paraId="2438B141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 МО ГО «Охинский», МКП "ЖКХ ГО Охинский:</w:t>
      </w:r>
    </w:p>
    <w:p w14:paraId="2DF4D0BF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газовые котельные с. </w:t>
      </w:r>
      <w:proofErr w:type="spellStart"/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Москальво</w:t>
      </w:r>
      <w:proofErr w:type="spellEnd"/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с. Тунгор, с. </w:t>
      </w:r>
      <w:proofErr w:type="spellStart"/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Некрасовка</w:t>
      </w:r>
      <w:proofErr w:type="spellEnd"/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           обеспечены запасом резервного топлива.</w:t>
      </w:r>
    </w:p>
    <w:p w14:paraId="23F909D4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 МО «Анивский ГО», ООО «Сахалинская теплоснабжающая            компания»:</w:t>
      </w:r>
    </w:p>
    <w:p w14:paraId="23FAC6B6" w14:textId="2B282B18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газовые котельные: ЦРК и № 9 г. Анива; № 2 с. Таранай; № 6 и № 7 с. Троицкое, не обеспечены резервным запасом топлива. </w:t>
      </w:r>
    </w:p>
    <w:p w14:paraId="66A5EC89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15.11.2023 повторно, за получением акта готовности                    муниципальные образования МО «Анивский ГО», МО ГО «Охинский» не     обращались.</w:t>
      </w:r>
    </w:p>
    <w:p w14:paraId="06703B5C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Отопительный сезон 2023/24 годов был своевременно начат во всех      районах области и проходил в штатном режиме. </w:t>
      </w:r>
    </w:p>
    <w:p w14:paraId="1AA1E801" w14:textId="7D9D93A8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Чрезвычайных ситуаций</w:t>
      </w:r>
      <w:r w:rsidR="00B62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связанных с авариями, технологическими сбоями, приведших к прекращению теплоснабжения потребителей на срок 24 часа; к разрушению или повреждению оборудования объектов, с выводом из строя    источников тепловой энергии или тепловых сетей на срок 3 суток на объектах ЖКХ не зафиксировано.</w:t>
      </w:r>
    </w:p>
    <w:p w14:paraId="504E2EF3" w14:textId="77777777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Ход подготовки к предстоящему отопительному сезону.</w:t>
      </w:r>
    </w:p>
    <w:p w14:paraId="626C1025" w14:textId="24D2F78C" w:rsidR="000D4067" w:rsidRPr="000D4067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исполнение п. 6 раздела 1 протокольного решения заседания           Правительства Российской Федерации от 13.05.2024 № 13 по вопросу «Об  итогах прохождения предприятиями жилищно-коммунального хозяйства и субъектами электроэнергетики осенне-зимнего периода 2023-2024 годов и    задачах по подготовке к прохождению осенне-зимнего периода 2024-2025     годов» представители Сахалинского управления Ростехнадзора примут       участие, в составе комиссий образованных администрациями муниципальных образований области, в оценке готовности теплоснабжающих и теплосетевых организаций к отопительному периоду</w:t>
      </w:r>
      <w:r w:rsidR="00B624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2024-2025 годов. </w:t>
      </w:r>
    </w:p>
    <w:p w14:paraId="5890A504" w14:textId="77777777" w:rsidR="004751A6" w:rsidRDefault="000D4067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40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01.07.2024 должностные лица управления приступят к участию в работе комиссий.</w:t>
      </w:r>
    </w:p>
    <w:p w14:paraId="59B8B45A" w14:textId="40177706" w:rsidR="004751A6" w:rsidRPr="004751A6" w:rsidRDefault="00697BB0" w:rsidP="004751A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7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деятельности по достижению минимизации риска            причиненного вреда (ущерба) охраняемым законом ценностям, вызванного нарушениями обязательных требований.</w:t>
      </w:r>
    </w:p>
    <w:p w14:paraId="793E533F" w14:textId="1DEBD79C" w:rsidR="00697BB0" w:rsidRPr="004751A6" w:rsidRDefault="00697BB0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7BB0">
        <w:rPr>
          <w:rFonts w:ascii="Times New Roman" w:eastAsia="Calibri" w:hAnsi="Times New Roman" w:cs="Times New Roman"/>
          <w:sz w:val="28"/>
          <w:szCs w:val="28"/>
        </w:rPr>
        <w:t xml:space="preserve">В первом полугодии деятельность Сахалинского управления                 Ростехнадзора (далее Управление) была направлена на предупреждение,      пресечение нарушений обязательных требований. </w:t>
      </w:r>
    </w:p>
    <w:p w14:paraId="670CA19A" w14:textId="77777777" w:rsidR="00697BB0" w:rsidRPr="00697BB0" w:rsidRDefault="00697BB0" w:rsidP="004751A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B0">
        <w:rPr>
          <w:rFonts w:ascii="Times New Roman" w:eastAsia="Calibri" w:hAnsi="Times New Roman" w:cs="Times New Roman"/>
          <w:sz w:val="28"/>
          <w:szCs w:val="28"/>
        </w:rPr>
        <w:t xml:space="preserve">Мероприятия, предусмотренные к выполнению за 6 месяцев 2024 года Программой профилактики рисков причинения вреда (ущерба) охраняемым   законом ценностям при осуществлении федерального государственного     </w:t>
      </w:r>
      <w:r w:rsidRPr="00697BB0">
        <w:rPr>
          <w:rFonts w:ascii="Times New Roman" w:eastAsia="Calibri" w:hAnsi="Times New Roman" w:cs="Times New Roman"/>
          <w:sz w:val="28"/>
          <w:szCs w:val="28"/>
        </w:rPr>
        <w:lastRenderedPageBreak/>
        <w:t>энергетического надзора в сфере электроэнергетики, в сфере теплоснабжения и в области гидротехнических сооружений на 2024 год выполнены в полном  объеме (100%).</w:t>
      </w:r>
    </w:p>
    <w:p w14:paraId="6AA08BC0" w14:textId="77777777" w:rsidR="00697BB0" w:rsidRPr="00697BB0" w:rsidRDefault="00697BB0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bookmarkStart w:id="2" w:name="_GoBack"/>
      <w:bookmarkEnd w:id="2"/>
      <w:r w:rsidRPr="0069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профилактической работы по недопущению        несчастных случаев в поднадзорные организации, ежемесячно направляется информация с анализом травматизма на энергоустановках, а также                         рекомендации по предотвращению несчастных случаев при эксплуатации  энергоустановок.</w:t>
      </w:r>
    </w:p>
    <w:p w14:paraId="2C1E39CA" w14:textId="77777777" w:rsidR="00697BB0" w:rsidRPr="00697BB0" w:rsidRDefault="00697BB0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направляется информация о проведении курсов повышения          квалификации.</w:t>
      </w:r>
    </w:p>
    <w:p w14:paraId="1E9BC996" w14:textId="77777777" w:rsidR="00697BB0" w:rsidRPr="00697BB0" w:rsidRDefault="00697BB0" w:rsidP="004751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7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мер профилактического воздействия, в адрес юридических лиц и индивидуальных предпринимателей направлено 7 предостережений о           недопустимости нарушений обязательных требований.</w:t>
      </w:r>
    </w:p>
    <w:p w14:paraId="599132BE" w14:textId="77777777" w:rsidR="00697BB0" w:rsidRPr="00697BB0" w:rsidRDefault="00697BB0" w:rsidP="004751A6">
      <w:pPr>
        <w:spacing w:before="240" w:after="24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Управления размещены: </w:t>
      </w:r>
    </w:p>
    <w:p w14:paraId="32548628" w14:textId="77777777" w:rsidR="00697BB0" w:rsidRPr="00697BB0" w:rsidRDefault="00697BB0" w:rsidP="004751A6">
      <w:pPr>
        <w:spacing w:before="240" w:after="24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 (далее Перечень), содержащих обязательные требования, оценка соблюдения которых является предметом  федерального государственного надзора. Перечень поддерживается в              актуальном состоянии в формате, обеспечивающем поиск и копирование     вместе с текстами (ссылками на тексты) нормативных правовых актов.</w:t>
      </w:r>
    </w:p>
    <w:p w14:paraId="6FAB6BEB" w14:textId="50FD519F" w:rsidR="00697BB0" w:rsidRPr="00697BB0" w:rsidRDefault="00697BB0" w:rsidP="004751A6">
      <w:pPr>
        <w:spacing w:before="240" w:after="24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федер</w:t>
      </w:r>
      <w:r w:rsidR="00A2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государственного </w:t>
      </w:r>
      <w:r w:rsidRPr="0069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энергетического надзора и надзора на 2024 год. </w:t>
      </w:r>
    </w:p>
    <w:p w14:paraId="1E5809D7" w14:textId="42EBFDE9" w:rsidR="00697BB0" w:rsidRPr="00697BB0" w:rsidRDefault="00697BB0" w:rsidP="004751A6">
      <w:pPr>
        <w:spacing w:before="240" w:after="24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План-график проведения дол</w:t>
      </w:r>
      <w:r w:rsidR="00A2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жностными лицами Сахалинского </w:t>
      </w:r>
      <w:r w:rsidRPr="00697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Ростехнадзора консультирования юриди</w:t>
      </w:r>
      <w:r w:rsidR="00A2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ческих лиц и </w:t>
      </w:r>
      <w:r w:rsidR="00DF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индивидуальных </w:t>
      </w:r>
      <w:r w:rsidRPr="00697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предпринимателей в 2024 году.</w:t>
      </w:r>
    </w:p>
    <w:p w14:paraId="327E2D23" w14:textId="77777777" w:rsidR="00697BB0" w:rsidRPr="00697BB0" w:rsidRDefault="00697BB0" w:rsidP="004751A6">
      <w:pPr>
        <w:spacing w:before="240" w:after="24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план-график проведения Сахалинским управлением           Ростехнадзора в 2024 году. </w:t>
      </w:r>
    </w:p>
    <w:p w14:paraId="22E3D789" w14:textId="57B12D2F" w:rsidR="00624949" w:rsidRPr="00697BB0" w:rsidRDefault="00697BB0" w:rsidP="004751A6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7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мероприятия </w:t>
      </w:r>
      <w:r w:rsidRPr="00697BB0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по профилактике нарушений</w:t>
      </w:r>
      <w:r w:rsidRPr="00697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обязательных требований на текущий год реализуются на постоянной основе в соответствии с планами </w:t>
      </w:r>
      <w:r w:rsidRPr="00697BB0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мероприятий</w:t>
      </w:r>
      <w:r w:rsidRPr="00697BB0">
        <w:rPr>
          <w:rFonts w:ascii="Times New Roman" w:eastAsia="Calibri" w:hAnsi="Times New Roman" w:cs="Times New Roman"/>
          <w:sz w:val="28"/>
          <w:szCs w:val="28"/>
          <w:lang w:eastAsia="ru-RU"/>
        </w:rPr>
        <w:t>, информация о результатах публикуется на официальном сайте Сахалинского управления Ростехнадзора.</w:t>
      </w:r>
    </w:p>
    <w:sectPr w:rsidR="00624949" w:rsidRPr="00697BB0" w:rsidSect="004751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46"/>
    <w:rsid w:val="00066374"/>
    <w:rsid w:val="000D4067"/>
    <w:rsid w:val="001841E1"/>
    <w:rsid w:val="004751A6"/>
    <w:rsid w:val="004E7D44"/>
    <w:rsid w:val="005062F1"/>
    <w:rsid w:val="00567F9F"/>
    <w:rsid w:val="00624949"/>
    <w:rsid w:val="00697BB0"/>
    <w:rsid w:val="007F40CF"/>
    <w:rsid w:val="008E3599"/>
    <w:rsid w:val="009C64A5"/>
    <w:rsid w:val="00A23C09"/>
    <w:rsid w:val="00A65E82"/>
    <w:rsid w:val="00AD2746"/>
    <w:rsid w:val="00B624CE"/>
    <w:rsid w:val="00B75BEE"/>
    <w:rsid w:val="00BD54E9"/>
    <w:rsid w:val="00DF15F3"/>
    <w:rsid w:val="00E20134"/>
    <w:rsid w:val="00E47300"/>
    <w:rsid w:val="00E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E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567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0201-17C6-456E-B6A8-A1818B02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17</cp:revision>
  <dcterms:created xsi:type="dcterms:W3CDTF">2024-02-05T00:25:00Z</dcterms:created>
  <dcterms:modified xsi:type="dcterms:W3CDTF">2024-08-18T21:51:00Z</dcterms:modified>
</cp:coreProperties>
</file>